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7</w:t>
        <w:tab/>
        <w:tab/>
        <w:t xml:space="preserve">Date: 10/18/16 - 10/24/16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MAY1740</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Magnetic Pulse Generator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Dr. Mani Mina and Neelam Prabhu-Guankar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Team Members/Role: Jack Lamar, Qibai Zheng, Pengchao Lian, and Ran Ma</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In this week, we have group meeting about importing a TI MOSFET file into PSpice. We just pick one from TI’s website and try if we can import it successfully, and it does. After that, we play around the previous group’s circuit by changing the value of capacitors and resistors. But we need to know about the parameter of our MOSFET, so we can continue to develop deeper.</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Played with generic RL MOSFET circuit to understand how it can be optimized for our application, studied which TI MOSFET is going to be useful for our circuit by looking at desired characteristics.</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import the TI MOSFET into pspice and do the simulation on Multisim</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Import the TI MOSFET mode into PSPICE and do the simulation.</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try to import a TI MOSFET into PSpice, and play and simulate the circuit of Jiayu’s group.</w:t>
      </w:r>
      <w:r w:rsidDel="00000000" w:rsidR="00000000" w:rsidRPr="00000000">
        <w:rPr>
          <w:rtl w:val="0"/>
        </w:rPr>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Find the ideal MOSFET for our circuit</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we need to know which MOSFET we would like to use, and according to the MOSFET we used, we’d like to design a circuit to suit for our MOSFET</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Need to get the information about the MOSFET we are gonna use.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want to know what exact MOSFET would we use</w:t>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 w:val="0"/>
        <w:tblW w:w="840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060"/>
        <w:gridCol w:w="1920"/>
        <w:gridCol w:w="1710"/>
        <w:tblGridChange w:id="0">
          <w:tblGrid>
            <w:gridCol w:w="1710"/>
            <w:gridCol w:w="3060"/>
            <w:gridCol w:w="1920"/>
            <w:gridCol w:w="171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Jack Lamar</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Studied MOSFET characteristics and played with circuit simulation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28</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Pengchao Lian</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import the TI MOSFET into pspice and do the simulation on Multisim</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24</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Ran Ma</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Import the TI MOSFET mode into PSPICE and do the simulation.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24</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Qibai Zheng</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Imported a TI’s MOSFET file into PSpice and simulated for last group’s circuit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23</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spacing w:after="200" w:line="276"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Find a TI MOSFET that works for our circuit and simulate a new circuit with it</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try to learn more about how to calculate each component value on our circuit and design a circuit for our MOSFET.  </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Know the information MOSFET and learn about the calculating with the parameters to get the component value.</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know the exact MOSFET for our group after talking with Neelam and Dr. Mina.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